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1B4F6" w14:textId="75A1B45C" w:rsidR="008D1357" w:rsidRPr="003E48FD" w:rsidRDefault="008D1357" w:rsidP="008D1357">
      <w:pPr>
        <w:jc w:val="both"/>
        <w:rPr>
          <w:rFonts w:eastAsia="細明體"/>
          <w:b/>
          <w:bCs/>
          <w:kern w:val="0"/>
        </w:rPr>
      </w:pPr>
      <w:r w:rsidRPr="003E48FD">
        <w:rPr>
          <w:rFonts w:eastAsia="細明體"/>
          <w:b/>
          <w:bCs/>
          <w:kern w:val="0"/>
        </w:rPr>
        <w:t>GLOSSARY</w:t>
      </w:r>
      <w:r w:rsidR="00765B25">
        <w:rPr>
          <w:rFonts w:eastAsia="細明體"/>
          <w:b/>
          <w:bCs/>
          <w:kern w:val="0"/>
        </w:rPr>
        <w:t xml:space="preserve"> </w:t>
      </w:r>
      <w:bookmarkStart w:id="0" w:name="_GoBack"/>
      <w:bookmarkEnd w:id="0"/>
    </w:p>
    <w:p w14:paraId="2AF81EBB" w14:textId="77777777" w:rsidR="008D1357" w:rsidRPr="003E48FD" w:rsidRDefault="008D1357" w:rsidP="008D1357">
      <w:pPr>
        <w:jc w:val="both"/>
        <w:rPr>
          <w:rFonts w:eastAsia="細明體"/>
          <w:kern w:val="0"/>
        </w:rPr>
      </w:pPr>
    </w:p>
    <w:p w14:paraId="0BBFABDA" w14:textId="77777777" w:rsidR="008D1357" w:rsidRPr="003E48FD" w:rsidRDefault="008D1357" w:rsidP="008D1357">
      <w:pPr>
        <w:jc w:val="both"/>
        <w:rPr>
          <w:rFonts w:eastAsia="細明體"/>
          <w:kern w:val="0"/>
        </w:rPr>
      </w:pPr>
      <w:r w:rsidRPr="003E48FD">
        <w:rPr>
          <w:rFonts w:eastAsia="細明體"/>
          <w:kern w:val="0"/>
        </w:rPr>
        <w:t>The following terms shall have the respective meanings given below:</w:t>
      </w:r>
    </w:p>
    <w:p w14:paraId="53307B59" w14:textId="77777777" w:rsidR="008D1357" w:rsidRPr="00EE037A" w:rsidRDefault="008D1357" w:rsidP="008D1357">
      <w:pPr>
        <w:spacing w:line="300" w:lineRule="exact"/>
        <w:jc w:val="both"/>
        <w:rPr>
          <w:rFonts w:eastAsia="細明體"/>
          <w:color w:val="FF0000"/>
          <w:kern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128"/>
      </w:tblGrid>
      <w:tr w:rsidR="004663B1" w:rsidRPr="004663B1" w14:paraId="16D459AD" w14:textId="77777777" w:rsidTr="0013548D">
        <w:trPr>
          <w:trHeight w:val="521"/>
        </w:trPr>
        <w:tc>
          <w:tcPr>
            <w:tcW w:w="2944" w:type="dxa"/>
          </w:tcPr>
          <w:p w14:paraId="05F8E52B" w14:textId="77777777" w:rsidR="008D1357" w:rsidRPr="004663B1" w:rsidRDefault="008D1357" w:rsidP="008B75F3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4663B1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6128" w:type="dxa"/>
          </w:tcPr>
          <w:p w14:paraId="387C6250" w14:textId="77777777" w:rsidR="008D1357" w:rsidRPr="004663B1" w:rsidRDefault="008D1357" w:rsidP="008B75F3">
            <w:pPr>
              <w:jc w:val="both"/>
              <w:rPr>
                <w:rFonts w:eastAsia="細明體"/>
                <w:kern w:val="0"/>
              </w:rPr>
            </w:pPr>
            <w:r w:rsidRPr="004663B1">
              <w:rPr>
                <w:rFonts w:eastAsia="細明體"/>
                <w:b/>
                <w:bCs/>
                <w:kern w:val="0"/>
              </w:rPr>
              <w:t>Description</w:t>
            </w:r>
            <w:r w:rsidRPr="004663B1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4663B1" w:rsidRPr="004663B1" w14:paraId="7BDE6B19" w14:textId="77777777" w:rsidTr="0013548D">
        <w:trPr>
          <w:trHeight w:val="57"/>
        </w:trPr>
        <w:tc>
          <w:tcPr>
            <w:tcW w:w="2944" w:type="dxa"/>
          </w:tcPr>
          <w:p w14:paraId="4C96974A" w14:textId="1EBF881C" w:rsidR="005B16A5" w:rsidRPr="004663B1" w:rsidRDefault="005B16A5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-</w:t>
            </w:r>
          </w:p>
        </w:tc>
        <w:tc>
          <w:tcPr>
            <w:tcW w:w="6128" w:type="dxa"/>
          </w:tcPr>
          <w:p w14:paraId="4836DD8E" w14:textId="7C037584" w:rsidR="005B16A5" w:rsidRPr="004663B1" w:rsidRDefault="005B16A5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Minus</w:t>
            </w:r>
          </w:p>
        </w:tc>
      </w:tr>
      <w:tr w:rsidR="004663B1" w:rsidRPr="004663B1" w14:paraId="1E7F25CF" w14:textId="77777777" w:rsidTr="0013548D">
        <w:trPr>
          <w:trHeight w:val="57"/>
        </w:trPr>
        <w:tc>
          <w:tcPr>
            <w:tcW w:w="2944" w:type="dxa"/>
          </w:tcPr>
          <w:p w14:paraId="19C815E6" w14:textId="77777777" w:rsidR="00956060" w:rsidRPr="004663B1" w:rsidRDefault="00956060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%</w:t>
            </w:r>
          </w:p>
        </w:tc>
        <w:tc>
          <w:tcPr>
            <w:tcW w:w="6128" w:type="dxa"/>
          </w:tcPr>
          <w:p w14:paraId="2BFCDB8B" w14:textId="77777777" w:rsidR="00956060" w:rsidRPr="004663B1" w:rsidRDefault="00956060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Percent</w:t>
            </w:r>
          </w:p>
        </w:tc>
      </w:tr>
      <w:tr w:rsidR="004663B1" w:rsidRPr="004663B1" w14:paraId="55B074DE" w14:textId="77777777" w:rsidTr="0013548D">
        <w:trPr>
          <w:trHeight w:val="57"/>
        </w:trPr>
        <w:tc>
          <w:tcPr>
            <w:tcW w:w="2944" w:type="dxa"/>
          </w:tcPr>
          <w:p w14:paraId="76C59856" w14:textId="285C4EBD" w:rsidR="005B16A5" w:rsidRPr="004663B1" w:rsidRDefault="005B16A5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+</w:t>
            </w:r>
          </w:p>
        </w:tc>
        <w:tc>
          <w:tcPr>
            <w:tcW w:w="6128" w:type="dxa"/>
          </w:tcPr>
          <w:p w14:paraId="15721C32" w14:textId="4D8C6B16" w:rsidR="005B16A5" w:rsidRPr="004663B1" w:rsidRDefault="005B16A5" w:rsidP="005B16A5">
            <w:pPr>
              <w:tabs>
                <w:tab w:val="left" w:pos="1440"/>
              </w:tabs>
              <w:spacing w:after="100" w:afterAutospacing="1"/>
              <w:jc w:val="both"/>
            </w:pPr>
            <w:r w:rsidRPr="004663B1">
              <w:t>Plus</w:t>
            </w:r>
          </w:p>
        </w:tc>
      </w:tr>
      <w:tr w:rsidR="004663B1" w:rsidRPr="004663B1" w14:paraId="2CC1FEE0" w14:textId="77777777" w:rsidTr="0013548D">
        <w:trPr>
          <w:trHeight w:val="57"/>
        </w:trPr>
        <w:tc>
          <w:tcPr>
            <w:tcW w:w="2944" w:type="dxa"/>
          </w:tcPr>
          <w:p w14:paraId="7B1AF0A5" w14:textId="295BB257" w:rsidR="005B16A5" w:rsidRPr="004663B1" w:rsidRDefault="005B16A5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u w:val="single"/>
              </w:rPr>
            </w:pPr>
            <w:r w:rsidRPr="004663B1">
              <w:rPr>
                <w:u w:val="single"/>
              </w:rPr>
              <w:t>+</w:t>
            </w:r>
          </w:p>
        </w:tc>
        <w:tc>
          <w:tcPr>
            <w:tcW w:w="6128" w:type="dxa"/>
          </w:tcPr>
          <w:p w14:paraId="538EEA5E" w14:textId="73B33735" w:rsidR="005B16A5" w:rsidRPr="004663B1" w:rsidRDefault="005B16A5" w:rsidP="00690D8C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Plus or minus</w:t>
            </w:r>
          </w:p>
        </w:tc>
      </w:tr>
      <w:tr w:rsidR="004663B1" w:rsidRPr="004663B1" w14:paraId="2483C955" w14:textId="77777777" w:rsidTr="0013548D">
        <w:trPr>
          <w:trHeight w:val="57"/>
        </w:trPr>
        <w:tc>
          <w:tcPr>
            <w:tcW w:w="2944" w:type="dxa"/>
          </w:tcPr>
          <w:p w14:paraId="6B8107AE" w14:textId="77777777" w:rsidR="008D1357" w:rsidRPr="004663B1" w:rsidRDefault="008D1357" w:rsidP="008B75F3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1"/>
                <w:lang w:eastAsia="zh-HK"/>
              </w:rPr>
            </w:pPr>
            <w:r w:rsidRPr="004663B1">
              <w:rPr>
                <w:bCs/>
                <w:kern w:val="1"/>
                <w:lang w:eastAsia="zh-HK"/>
              </w:rPr>
              <w:t>≤</w:t>
            </w:r>
          </w:p>
        </w:tc>
        <w:tc>
          <w:tcPr>
            <w:tcW w:w="6128" w:type="dxa"/>
          </w:tcPr>
          <w:p w14:paraId="50108324" w14:textId="77777777" w:rsidR="008D1357" w:rsidRPr="004663B1" w:rsidRDefault="008D1357" w:rsidP="008B75F3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Smaller than or equal to</w:t>
            </w:r>
          </w:p>
        </w:tc>
      </w:tr>
      <w:tr w:rsidR="004663B1" w:rsidRPr="004663B1" w14:paraId="071703B8" w14:textId="77777777" w:rsidTr="0013548D">
        <w:trPr>
          <w:trHeight w:val="57"/>
        </w:trPr>
        <w:tc>
          <w:tcPr>
            <w:tcW w:w="2944" w:type="dxa"/>
          </w:tcPr>
          <w:p w14:paraId="6523CBC3" w14:textId="3C726DDB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1"/>
                <w:lang w:eastAsia="zh-HK"/>
              </w:rPr>
            </w:pPr>
            <w:r w:rsidRPr="004663B1">
              <w:rPr>
                <w:vertAlign w:val="superscript"/>
              </w:rPr>
              <w:t>o</w:t>
            </w:r>
            <w:r w:rsidR="00F60BE8" w:rsidRPr="004663B1">
              <w:rPr>
                <w:lang w:eastAsia="zh-HK"/>
              </w:rPr>
              <w:t xml:space="preserve"> C</w:t>
            </w:r>
          </w:p>
        </w:tc>
        <w:tc>
          <w:tcPr>
            <w:tcW w:w="6128" w:type="dxa"/>
          </w:tcPr>
          <w:p w14:paraId="294CEC6E" w14:textId="56E0A4CD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 xml:space="preserve">Degree </w:t>
            </w:r>
            <w:r w:rsidR="00F60BE8" w:rsidRPr="004663B1">
              <w:rPr>
                <w:kern w:val="0"/>
                <w:lang w:eastAsia="en-US"/>
              </w:rPr>
              <w:t>Celsius</w:t>
            </w:r>
          </w:p>
        </w:tc>
      </w:tr>
      <w:tr w:rsidR="004663B1" w:rsidRPr="004663B1" w14:paraId="028017C1" w14:textId="77777777" w:rsidTr="0013548D">
        <w:trPr>
          <w:trHeight w:val="57"/>
        </w:trPr>
        <w:tc>
          <w:tcPr>
            <w:tcW w:w="2944" w:type="dxa"/>
          </w:tcPr>
          <w:p w14:paraId="04930BC1" w14:textId="77777777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A</w:t>
            </w:r>
          </w:p>
        </w:tc>
        <w:tc>
          <w:tcPr>
            <w:tcW w:w="6128" w:type="dxa"/>
          </w:tcPr>
          <w:p w14:paraId="18369F0B" w14:textId="77777777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Amperes</w:t>
            </w:r>
          </w:p>
        </w:tc>
      </w:tr>
      <w:tr w:rsidR="004663B1" w:rsidRPr="004663B1" w14:paraId="7F471272" w14:textId="77777777" w:rsidTr="0013548D">
        <w:trPr>
          <w:trHeight w:val="57"/>
        </w:trPr>
        <w:tc>
          <w:tcPr>
            <w:tcW w:w="2944" w:type="dxa"/>
          </w:tcPr>
          <w:p w14:paraId="5C5D0A6E" w14:textId="77777777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rPr>
                <w:lang w:eastAsia="zh-HK"/>
              </w:rPr>
              <w:t>A.C.</w:t>
            </w:r>
          </w:p>
        </w:tc>
        <w:tc>
          <w:tcPr>
            <w:tcW w:w="6128" w:type="dxa"/>
          </w:tcPr>
          <w:p w14:paraId="7866152B" w14:textId="77777777" w:rsidR="00582CEA" w:rsidRPr="004663B1" w:rsidRDefault="00582CEA" w:rsidP="00582CEA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Alternating Current</w:t>
            </w:r>
          </w:p>
        </w:tc>
      </w:tr>
      <w:tr w:rsidR="004663B1" w:rsidRPr="004663B1" w14:paraId="74B3EB42" w14:textId="77777777" w:rsidTr="0013548D">
        <w:trPr>
          <w:trHeight w:val="57"/>
        </w:trPr>
        <w:tc>
          <w:tcPr>
            <w:tcW w:w="2944" w:type="dxa"/>
          </w:tcPr>
          <w:p w14:paraId="0188676A" w14:textId="77777777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BS</w:t>
            </w:r>
          </w:p>
        </w:tc>
        <w:tc>
          <w:tcPr>
            <w:tcW w:w="6128" w:type="dxa"/>
          </w:tcPr>
          <w:p w14:paraId="68F406C0" w14:textId="77777777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British Standards</w:t>
            </w:r>
          </w:p>
        </w:tc>
      </w:tr>
      <w:tr w:rsidR="004663B1" w:rsidRPr="004663B1" w14:paraId="3BE9A998" w14:textId="77777777" w:rsidTr="0013548D">
        <w:trPr>
          <w:trHeight w:val="57"/>
        </w:trPr>
        <w:tc>
          <w:tcPr>
            <w:tcW w:w="2944" w:type="dxa"/>
          </w:tcPr>
          <w:p w14:paraId="6C95D40F" w14:textId="5F0D206B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rPr>
                <w:lang w:eastAsia="zh-HK"/>
              </w:rPr>
              <w:t>CMH</w:t>
            </w:r>
            <w:r w:rsidR="00DD1517">
              <w:rPr>
                <w:lang w:eastAsia="zh-HK"/>
              </w:rPr>
              <w:t>HK</w:t>
            </w:r>
          </w:p>
        </w:tc>
        <w:tc>
          <w:tcPr>
            <w:tcW w:w="6128" w:type="dxa"/>
          </w:tcPr>
          <w:p w14:paraId="4AF53471" w14:textId="1A963EEA" w:rsidR="00F60BE8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 xml:space="preserve">The </w:t>
            </w:r>
            <w:r w:rsidR="00F60BE8" w:rsidRPr="004663B1">
              <w:t>Chinese Medicine Hospital</w:t>
            </w:r>
            <w:r>
              <w:t xml:space="preserve"> of Hong Kong</w:t>
            </w:r>
          </w:p>
        </w:tc>
      </w:tr>
      <w:tr w:rsidR="004663B1" w:rsidRPr="004663B1" w14:paraId="7BB7DD35" w14:textId="77777777" w:rsidTr="0013548D">
        <w:trPr>
          <w:trHeight w:val="57"/>
        </w:trPr>
        <w:tc>
          <w:tcPr>
            <w:tcW w:w="2944" w:type="dxa"/>
          </w:tcPr>
          <w:p w14:paraId="0CE66704" w14:textId="16FDC4BA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dB(A)</w:t>
            </w:r>
          </w:p>
        </w:tc>
        <w:tc>
          <w:tcPr>
            <w:tcW w:w="6128" w:type="dxa"/>
          </w:tcPr>
          <w:p w14:paraId="7E0AB467" w14:textId="0D7C5F99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Decibel</w:t>
            </w:r>
          </w:p>
        </w:tc>
      </w:tr>
      <w:tr w:rsidR="003E356D" w:rsidRPr="004663B1" w14:paraId="70069110" w14:textId="77777777" w:rsidTr="0013548D">
        <w:trPr>
          <w:trHeight w:val="57"/>
        </w:trPr>
        <w:tc>
          <w:tcPr>
            <w:tcW w:w="2944" w:type="dxa"/>
          </w:tcPr>
          <w:p w14:paraId="23B26570" w14:textId="48301EEC" w:rsidR="003E356D" w:rsidRPr="004663B1" w:rsidRDefault="003E356D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rPr>
                <w:rFonts w:hint="eastAsia"/>
              </w:rPr>
              <w:t>EMC</w:t>
            </w:r>
          </w:p>
        </w:tc>
        <w:tc>
          <w:tcPr>
            <w:tcW w:w="6128" w:type="dxa"/>
          </w:tcPr>
          <w:p w14:paraId="0DEA4931" w14:textId="42D80AF5" w:rsidR="003E356D" w:rsidRPr="004663B1" w:rsidRDefault="003E356D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>
              <w:t>Electromagnetic Compatibility</w:t>
            </w:r>
          </w:p>
        </w:tc>
      </w:tr>
      <w:tr w:rsidR="004663B1" w:rsidRPr="004663B1" w14:paraId="65985A21" w14:textId="77777777" w:rsidTr="0013548D">
        <w:trPr>
          <w:trHeight w:val="57"/>
        </w:trPr>
        <w:tc>
          <w:tcPr>
            <w:tcW w:w="2944" w:type="dxa"/>
          </w:tcPr>
          <w:p w14:paraId="624F0ECB" w14:textId="6E619213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rPr>
                <w:bCs/>
                <w:kern w:val="1"/>
                <w:lang w:eastAsia="zh-HK"/>
              </w:rPr>
              <w:t>EMSD</w:t>
            </w:r>
          </w:p>
        </w:tc>
        <w:tc>
          <w:tcPr>
            <w:tcW w:w="6128" w:type="dxa"/>
          </w:tcPr>
          <w:p w14:paraId="0DF75C30" w14:textId="302DD6D1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Electrical and Mechanical Services Department</w:t>
            </w:r>
          </w:p>
        </w:tc>
      </w:tr>
      <w:tr w:rsidR="00DD1517" w:rsidRPr="004663B1" w14:paraId="2E05FE31" w14:textId="77777777" w:rsidTr="0013548D">
        <w:trPr>
          <w:trHeight w:val="57"/>
        </w:trPr>
        <w:tc>
          <w:tcPr>
            <w:tcW w:w="2944" w:type="dxa"/>
          </w:tcPr>
          <w:p w14:paraId="48D67F44" w14:textId="024FF147" w:rsidR="00DD1517" w:rsidRPr="004663B1" w:rsidRDefault="00DD1517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1"/>
                <w:lang w:eastAsia="zh-HK"/>
              </w:rPr>
            </w:pPr>
            <w:r>
              <w:rPr>
                <w:rFonts w:hint="eastAsia"/>
                <w:bCs/>
                <w:kern w:val="1"/>
                <w:lang w:eastAsia="zh-HK"/>
              </w:rPr>
              <w:t>HHB</w:t>
            </w:r>
          </w:p>
        </w:tc>
        <w:tc>
          <w:tcPr>
            <w:tcW w:w="6128" w:type="dxa"/>
          </w:tcPr>
          <w:p w14:paraId="67DD40A6" w14:textId="4C9623CB" w:rsidR="00DD1517" w:rsidRPr="004663B1" w:rsidRDefault="00DD1517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DD1517">
              <w:t>Health Bureau</w:t>
            </w:r>
          </w:p>
        </w:tc>
      </w:tr>
      <w:tr w:rsidR="004663B1" w:rsidRPr="004663B1" w14:paraId="5329ED28" w14:textId="77777777" w:rsidTr="0013548D">
        <w:trPr>
          <w:trHeight w:val="57"/>
        </w:trPr>
        <w:tc>
          <w:tcPr>
            <w:tcW w:w="2944" w:type="dxa"/>
          </w:tcPr>
          <w:p w14:paraId="3F5E011A" w14:textId="06791CC4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bCs/>
                <w:kern w:val="1"/>
                <w:lang w:eastAsia="zh-HK"/>
              </w:rPr>
            </w:pPr>
            <w:r w:rsidRPr="004663B1">
              <w:rPr>
                <w:lang w:eastAsia="zh-HK"/>
              </w:rPr>
              <w:t>HKSAR</w:t>
            </w:r>
          </w:p>
        </w:tc>
        <w:tc>
          <w:tcPr>
            <w:tcW w:w="6128" w:type="dxa"/>
          </w:tcPr>
          <w:p w14:paraId="145D1CE3" w14:textId="6F512D85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Hong Kong Special Administrative Region (HKSAR)</w:t>
            </w:r>
          </w:p>
        </w:tc>
      </w:tr>
      <w:tr w:rsidR="004663B1" w:rsidRPr="004663B1" w14:paraId="4BFFD432" w14:textId="77777777" w:rsidTr="0013548D">
        <w:trPr>
          <w:trHeight w:val="57"/>
        </w:trPr>
        <w:tc>
          <w:tcPr>
            <w:tcW w:w="2944" w:type="dxa"/>
          </w:tcPr>
          <w:p w14:paraId="33954FA9" w14:textId="77777777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rPr>
                <w:lang w:eastAsia="zh-HK"/>
              </w:rPr>
              <w:t>Hz</w:t>
            </w:r>
          </w:p>
        </w:tc>
        <w:tc>
          <w:tcPr>
            <w:tcW w:w="6128" w:type="dxa"/>
          </w:tcPr>
          <w:p w14:paraId="021DCAF5" w14:textId="77777777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Hertz</w:t>
            </w:r>
          </w:p>
        </w:tc>
      </w:tr>
      <w:tr w:rsidR="004663B1" w:rsidRPr="004663B1" w14:paraId="6F6D03B0" w14:textId="77777777" w:rsidTr="0013548D">
        <w:trPr>
          <w:trHeight w:val="57"/>
        </w:trPr>
        <w:tc>
          <w:tcPr>
            <w:tcW w:w="2944" w:type="dxa"/>
          </w:tcPr>
          <w:p w14:paraId="66529731" w14:textId="72961DFC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4663B1">
              <w:t>IEC</w:t>
            </w:r>
          </w:p>
        </w:tc>
        <w:tc>
          <w:tcPr>
            <w:tcW w:w="6128" w:type="dxa"/>
          </w:tcPr>
          <w:p w14:paraId="097F304F" w14:textId="040931A1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 xml:space="preserve">International </w:t>
            </w:r>
            <w:proofErr w:type="spellStart"/>
            <w:r w:rsidRPr="004663B1">
              <w:t>Electrotechnical</w:t>
            </w:r>
            <w:proofErr w:type="spellEnd"/>
            <w:r w:rsidRPr="004663B1">
              <w:t xml:space="preserve"> Commission</w:t>
            </w:r>
          </w:p>
        </w:tc>
      </w:tr>
      <w:tr w:rsidR="004663B1" w:rsidRPr="004663B1" w14:paraId="62B53CEC" w14:textId="77777777" w:rsidTr="0013548D">
        <w:trPr>
          <w:trHeight w:val="57"/>
        </w:trPr>
        <w:tc>
          <w:tcPr>
            <w:tcW w:w="2944" w:type="dxa"/>
          </w:tcPr>
          <w:p w14:paraId="0799436E" w14:textId="66C3D09F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ISO</w:t>
            </w:r>
          </w:p>
        </w:tc>
        <w:tc>
          <w:tcPr>
            <w:tcW w:w="6128" w:type="dxa"/>
          </w:tcPr>
          <w:p w14:paraId="1DBC7A87" w14:textId="01275DD3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International Organization for Standardization</w:t>
            </w:r>
          </w:p>
        </w:tc>
      </w:tr>
      <w:tr w:rsidR="004663B1" w:rsidRPr="004663B1" w14:paraId="32A5D3DA" w14:textId="77777777" w:rsidTr="0013548D">
        <w:trPr>
          <w:trHeight w:val="57"/>
        </w:trPr>
        <w:tc>
          <w:tcPr>
            <w:tcW w:w="2944" w:type="dxa"/>
          </w:tcPr>
          <w:p w14:paraId="76AFDEBA" w14:textId="107ED8CB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4663B1">
              <w:rPr>
                <w:lang w:eastAsia="zh-HK"/>
              </w:rPr>
              <w:t>ISM</w:t>
            </w:r>
          </w:p>
        </w:tc>
        <w:tc>
          <w:tcPr>
            <w:tcW w:w="6128" w:type="dxa"/>
          </w:tcPr>
          <w:p w14:paraId="540082C6" w14:textId="278CDDBD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Industrial, Scientific, and Medical</w:t>
            </w:r>
          </w:p>
        </w:tc>
      </w:tr>
      <w:tr w:rsidR="004663B1" w:rsidRPr="004663B1" w14:paraId="7BDD7521" w14:textId="77777777" w:rsidTr="0013548D">
        <w:trPr>
          <w:trHeight w:val="57"/>
        </w:trPr>
        <w:tc>
          <w:tcPr>
            <w:tcW w:w="2944" w:type="dxa"/>
          </w:tcPr>
          <w:p w14:paraId="0FA2CD4E" w14:textId="065AF32F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4663B1">
              <w:t>kg</w:t>
            </w:r>
          </w:p>
        </w:tc>
        <w:tc>
          <w:tcPr>
            <w:tcW w:w="6128" w:type="dxa"/>
          </w:tcPr>
          <w:p w14:paraId="73AAD5EA" w14:textId="6A3002ED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Kilogram</w:t>
            </w:r>
          </w:p>
        </w:tc>
      </w:tr>
      <w:tr w:rsidR="004663B1" w:rsidRPr="004663B1" w14:paraId="286B5F7B" w14:textId="77777777" w:rsidTr="002E39AE">
        <w:trPr>
          <w:trHeight w:val="57"/>
        </w:trPr>
        <w:tc>
          <w:tcPr>
            <w:tcW w:w="2944" w:type="dxa"/>
            <w:vAlign w:val="center"/>
          </w:tcPr>
          <w:p w14:paraId="61AE83CA" w14:textId="4C5D68F5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4663B1">
              <w:t>kW</w:t>
            </w:r>
          </w:p>
        </w:tc>
        <w:tc>
          <w:tcPr>
            <w:tcW w:w="6128" w:type="dxa"/>
            <w:vAlign w:val="center"/>
          </w:tcPr>
          <w:p w14:paraId="7F02C5CE" w14:textId="7116E5FB" w:rsidR="00F60BE8" w:rsidRPr="004663B1" w:rsidRDefault="00F60BE8" w:rsidP="00F60BE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4663B1">
              <w:rPr>
                <w:kern w:val="0"/>
                <w:lang w:eastAsia="en-US"/>
              </w:rPr>
              <w:t>Kilowatt</w:t>
            </w:r>
          </w:p>
        </w:tc>
      </w:tr>
      <w:tr w:rsidR="00DD1517" w:rsidRPr="004663B1" w14:paraId="069EE8AA" w14:textId="77777777" w:rsidTr="002E39AE">
        <w:trPr>
          <w:trHeight w:val="57"/>
        </w:trPr>
        <w:tc>
          <w:tcPr>
            <w:tcW w:w="2944" w:type="dxa"/>
            <w:vAlign w:val="center"/>
          </w:tcPr>
          <w:p w14:paraId="5EF39906" w14:textId="4250544C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kW</w:t>
            </w:r>
          </w:p>
        </w:tc>
        <w:tc>
          <w:tcPr>
            <w:tcW w:w="6128" w:type="dxa"/>
            <w:vAlign w:val="center"/>
          </w:tcPr>
          <w:p w14:paraId="42425AB7" w14:textId="4E21758B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4663B1">
              <w:rPr>
                <w:kern w:val="0"/>
                <w:lang w:eastAsia="en-US"/>
              </w:rPr>
              <w:t>Kilowatt</w:t>
            </w:r>
            <w:r>
              <w:rPr>
                <w:kern w:val="0"/>
                <w:lang w:eastAsia="en-US"/>
              </w:rPr>
              <w:t xml:space="preserve"> hour</w:t>
            </w:r>
          </w:p>
        </w:tc>
      </w:tr>
      <w:tr w:rsidR="00DD1517" w:rsidRPr="004663B1" w14:paraId="4A88CC19" w14:textId="77777777" w:rsidTr="00FB79E3">
        <w:trPr>
          <w:trHeight w:val="57"/>
        </w:trPr>
        <w:tc>
          <w:tcPr>
            <w:tcW w:w="2944" w:type="dxa"/>
            <w:vAlign w:val="center"/>
          </w:tcPr>
          <w:p w14:paraId="33EEAFAE" w14:textId="53B348B0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4663B1">
              <w:rPr>
                <w:kern w:val="0"/>
                <w:lang w:eastAsia="en-US"/>
              </w:rPr>
              <w:t>L</w:t>
            </w:r>
          </w:p>
        </w:tc>
        <w:tc>
          <w:tcPr>
            <w:tcW w:w="6128" w:type="dxa"/>
            <w:vAlign w:val="center"/>
          </w:tcPr>
          <w:p w14:paraId="66D6690C" w14:textId="1FF86620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4663B1">
              <w:rPr>
                <w:kern w:val="0"/>
                <w:lang w:eastAsia="en-US"/>
              </w:rPr>
              <w:t>Litre</w:t>
            </w:r>
          </w:p>
        </w:tc>
      </w:tr>
      <w:tr w:rsidR="003E356D" w:rsidRPr="004663B1" w14:paraId="5209A84B" w14:textId="77777777" w:rsidTr="00FB79E3">
        <w:trPr>
          <w:trHeight w:val="57"/>
        </w:trPr>
        <w:tc>
          <w:tcPr>
            <w:tcW w:w="2944" w:type="dxa"/>
            <w:vAlign w:val="center"/>
          </w:tcPr>
          <w:p w14:paraId="559E4799" w14:textId="2B4CDD00" w:rsidR="003E356D" w:rsidRPr="004663B1" w:rsidRDefault="003E356D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>
              <w:rPr>
                <w:rFonts w:hint="eastAsia"/>
                <w:kern w:val="0"/>
                <w:lang w:eastAsia="en-US"/>
              </w:rPr>
              <w:t>LCD</w:t>
            </w:r>
          </w:p>
        </w:tc>
        <w:tc>
          <w:tcPr>
            <w:tcW w:w="6128" w:type="dxa"/>
            <w:vAlign w:val="center"/>
          </w:tcPr>
          <w:p w14:paraId="342D89BB" w14:textId="2782C496" w:rsidR="003E356D" w:rsidRPr="004663B1" w:rsidRDefault="003E356D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eastAsia="en-US"/>
              </w:rPr>
            </w:pPr>
            <w:r w:rsidRPr="003E356D">
              <w:rPr>
                <w:kern w:val="0"/>
                <w:lang w:eastAsia="en-US"/>
              </w:rPr>
              <w:t>Liquid Crystal Display</w:t>
            </w:r>
          </w:p>
        </w:tc>
      </w:tr>
      <w:tr w:rsidR="00DD1517" w:rsidRPr="004663B1" w14:paraId="380510DE" w14:textId="77777777" w:rsidTr="0013548D">
        <w:trPr>
          <w:trHeight w:val="57"/>
        </w:trPr>
        <w:tc>
          <w:tcPr>
            <w:tcW w:w="2944" w:type="dxa"/>
          </w:tcPr>
          <w:p w14:paraId="7D3ED0DD" w14:textId="3FD40C3A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rPr>
                <w:lang w:val="en-HK" w:eastAsia="zh-HK"/>
              </w:rPr>
              <w:t>LED</w:t>
            </w:r>
          </w:p>
        </w:tc>
        <w:tc>
          <w:tcPr>
            <w:tcW w:w="6128" w:type="dxa"/>
          </w:tcPr>
          <w:p w14:paraId="6DDFA68B" w14:textId="44E5E3C3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Light Emitting Diode</w:t>
            </w:r>
          </w:p>
        </w:tc>
      </w:tr>
      <w:tr w:rsidR="00DD1517" w:rsidRPr="004663B1" w14:paraId="41F076A4" w14:textId="77777777" w:rsidTr="0013548D">
        <w:trPr>
          <w:trHeight w:val="57"/>
        </w:trPr>
        <w:tc>
          <w:tcPr>
            <w:tcW w:w="2944" w:type="dxa"/>
          </w:tcPr>
          <w:p w14:paraId="5028637D" w14:textId="77777777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mm</w:t>
            </w:r>
          </w:p>
        </w:tc>
        <w:tc>
          <w:tcPr>
            <w:tcW w:w="6128" w:type="dxa"/>
          </w:tcPr>
          <w:p w14:paraId="387D81FC" w14:textId="77777777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proofErr w:type="spellStart"/>
            <w:r w:rsidRPr="004663B1">
              <w:t>Millimeter</w:t>
            </w:r>
            <w:proofErr w:type="spellEnd"/>
          </w:p>
        </w:tc>
      </w:tr>
      <w:tr w:rsidR="00DD1517" w:rsidRPr="004663B1" w14:paraId="065DDABC" w14:textId="77777777" w:rsidTr="006956F4">
        <w:trPr>
          <w:trHeight w:val="57"/>
        </w:trPr>
        <w:tc>
          <w:tcPr>
            <w:tcW w:w="2944" w:type="dxa"/>
            <w:vAlign w:val="center"/>
          </w:tcPr>
          <w:p w14:paraId="25B01983" w14:textId="0ECFE05B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MPa</w:t>
            </w:r>
          </w:p>
        </w:tc>
        <w:tc>
          <w:tcPr>
            <w:tcW w:w="6128" w:type="dxa"/>
            <w:vAlign w:val="center"/>
          </w:tcPr>
          <w:p w14:paraId="6FCF7F91" w14:textId="57DEB15D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proofErr w:type="spellStart"/>
            <w:r w:rsidRPr="004663B1">
              <w:rPr>
                <w:kern w:val="0"/>
                <w:lang w:eastAsia="en-US"/>
              </w:rPr>
              <w:t>Megapascal</w:t>
            </w:r>
            <w:proofErr w:type="spellEnd"/>
          </w:p>
        </w:tc>
      </w:tr>
      <w:tr w:rsidR="00DD1517" w:rsidRPr="004663B1" w14:paraId="5E2E4D65" w14:textId="77777777" w:rsidTr="0013548D">
        <w:trPr>
          <w:trHeight w:val="57"/>
        </w:trPr>
        <w:tc>
          <w:tcPr>
            <w:tcW w:w="2944" w:type="dxa"/>
          </w:tcPr>
          <w:p w14:paraId="4104401A" w14:textId="72AB0F12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nos.</w:t>
            </w:r>
          </w:p>
        </w:tc>
        <w:tc>
          <w:tcPr>
            <w:tcW w:w="6128" w:type="dxa"/>
          </w:tcPr>
          <w:p w14:paraId="5B1C0D12" w14:textId="267A1336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Numbers</w:t>
            </w:r>
          </w:p>
        </w:tc>
      </w:tr>
      <w:tr w:rsidR="00DD1517" w:rsidRPr="004663B1" w14:paraId="4AF2F2A5" w14:textId="77777777" w:rsidTr="0013548D">
        <w:trPr>
          <w:trHeight w:val="57"/>
        </w:trPr>
        <w:tc>
          <w:tcPr>
            <w:tcW w:w="2944" w:type="dxa"/>
          </w:tcPr>
          <w:p w14:paraId="50BEE7EA" w14:textId="7B066F19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rPr>
                <w:bCs/>
                <w:kern w:val="1"/>
                <w:lang w:eastAsia="zh-HK"/>
              </w:rPr>
              <w:t>RoHS</w:t>
            </w:r>
          </w:p>
        </w:tc>
        <w:tc>
          <w:tcPr>
            <w:tcW w:w="6128" w:type="dxa"/>
          </w:tcPr>
          <w:p w14:paraId="46D3EB34" w14:textId="04FD6314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kern w:val="0"/>
                <w:lang w:val="en-US" w:eastAsia="en-US"/>
              </w:rPr>
            </w:pPr>
            <w:r w:rsidRPr="004663B1">
              <w:t>Restriction of Hazardous Substances</w:t>
            </w:r>
          </w:p>
        </w:tc>
      </w:tr>
      <w:tr w:rsidR="00DD1517" w:rsidRPr="004663B1" w14:paraId="785BA5AD" w14:textId="77777777" w:rsidTr="00572B93">
        <w:trPr>
          <w:trHeight w:val="57"/>
        </w:trPr>
        <w:tc>
          <w:tcPr>
            <w:tcW w:w="2944" w:type="dxa"/>
            <w:vAlign w:val="center"/>
          </w:tcPr>
          <w:p w14:paraId="3396B6CC" w14:textId="69789277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val="en-US" w:eastAsia="zh-HK"/>
              </w:rPr>
            </w:pPr>
            <w:r w:rsidRPr="004663B1">
              <w:rPr>
                <w:kern w:val="0"/>
                <w:lang w:eastAsia="en-US"/>
              </w:rPr>
              <w:t>V</w:t>
            </w:r>
          </w:p>
        </w:tc>
        <w:tc>
          <w:tcPr>
            <w:tcW w:w="6128" w:type="dxa"/>
            <w:vAlign w:val="center"/>
          </w:tcPr>
          <w:p w14:paraId="37EF74AB" w14:textId="5197C788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rPr>
                <w:kern w:val="0"/>
                <w:lang w:eastAsia="en-US"/>
              </w:rPr>
              <w:t>voltage</w:t>
            </w:r>
          </w:p>
        </w:tc>
      </w:tr>
      <w:tr w:rsidR="00DD1517" w:rsidRPr="004663B1" w14:paraId="4642324A" w14:textId="77777777" w:rsidTr="0013548D">
        <w:trPr>
          <w:trHeight w:val="57"/>
        </w:trPr>
        <w:tc>
          <w:tcPr>
            <w:tcW w:w="2944" w:type="dxa"/>
          </w:tcPr>
          <w:p w14:paraId="0CDAC73D" w14:textId="0A8D8153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4663B1">
              <w:rPr>
                <w:lang w:eastAsia="zh-HK"/>
              </w:rPr>
              <w:t>W</w:t>
            </w:r>
          </w:p>
        </w:tc>
        <w:tc>
          <w:tcPr>
            <w:tcW w:w="6128" w:type="dxa"/>
          </w:tcPr>
          <w:p w14:paraId="401A2675" w14:textId="0325FD4C" w:rsidR="00DD1517" w:rsidRPr="004663B1" w:rsidRDefault="00DD1517" w:rsidP="00DD1517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4663B1">
              <w:t>Watt</w:t>
            </w:r>
          </w:p>
        </w:tc>
      </w:tr>
    </w:tbl>
    <w:p w14:paraId="07DCC34E" w14:textId="77777777" w:rsidR="008D1357" w:rsidRPr="00292FE4" w:rsidRDefault="008D1357" w:rsidP="008D1357">
      <w:pPr>
        <w:ind w:right="130"/>
        <w:jc w:val="both"/>
        <w:rPr>
          <w:lang w:val="en-HK"/>
        </w:rPr>
      </w:pPr>
    </w:p>
    <w:p w14:paraId="3B3D4A8C" w14:textId="77777777" w:rsidR="008D1357" w:rsidRPr="00D46676" w:rsidRDefault="008D1357" w:rsidP="008D1357">
      <w:pPr>
        <w:spacing w:after="160" w:line="259" w:lineRule="auto"/>
        <w:jc w:val="center"/>
        <w:rPr>
          <w:b/>
        </w:rPr>
      </w:pPr>
    </w:p>
    <w:p w14:paraId="2CFD0106" w14:textId="77777777" w:rsidR="00132F88" w:rsidRDefault="00132F88"/>
    <w:sectPr w:rsidR="00132F88" w:rsidSect="00B802DE">
      <w:headerReference w:type="default" r:id="rId6"/>
      <w:pgSz w:w="11910" w:h="16840" w:code="9"/>
      <w:pgMar w:top="1440" w:right="1440" w:bottom="1080" w:left="1440" w:header="562" w:footer="288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833BA8" w16cid:durableId="01C07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5080B" w14:textId="77777777" w:rsidR="00792EBA" w:rsidRDefault="00792EBA">
      <w:r>
        <w:separator/>
      </w:r>
    </w:p>
  </w:endnote>
  <w:endnote w:type="continuationSeparator" w:id="0">
    <w:p w14:paraId="460A528D" w14:textId="77777777" w:rsidR="00792EBA" w:rsidRDefault="0079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CCC4A" w14:textId="77777777" w:rsidR="00792EBA" w:rsidRDefault="00792EBA">
      <w:r>
        <w:separator/>
      </w:r>
    </w:p>
  </w:footnote>
  <w:footnote w:type="continuationSeparator" w:id="0">
    <w:p w14:paraId="5221B835" w14:textId="77777777" w:rsidR="00792EBA" w:rsidRDefault="0079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62739" w14:textId="272BEAFA" w:rsidR="000700BE" w:rsidRDefault="005B22A6" w:rsidP="005B22A6">
    <w:pPr>
      <w:pStyle w:val="a4"/>
      <w:spacing w:line="220" w:lineRule="exact"/>
      <w:jc w:val="right"/>
      <w:rPr>
        <w:lang w:eastAsia="zh-HK"/>
      </w:rPr>
    </w:pPr>
    <w:r>
      <w:rPr>
        <w:lang w:eastAsia="zh-HK"/>
      </w:rPr>
      <w:t>Annex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7"/>
    <w:rsid w:val="000700BE"/>
    <w:rsid w:val="00081A76"/>
    <w:rsid w:val="00126139"/>
    <w:rsid w:val="00132F88"/>
    <w:rsid w:val="0013548D"/>
    <w:rsid w:val="001E368E"/>
    <w:rsid w:val="001F77CB"/>
    <w:rsid w:val="0032461E"/>
    <w:rsid w:val="003C6084"/>
    <w:rsid w:val="003E356D"/>
    <w:rsid w:val="00431F9F"/>
    <w:rsid w:val="004663B1"/>
    <w:rsid w:val="00554C3B"/>
    <w:rsid w:val="00582CEA"/>
    <w:rsid w:val="005B16A5"/>
    <w:rsid w:val="005B22A6"/>
    <w:rsid w:val="006C4722"/>
    <w:rsid w:val="007216E1"/>
    <w:rsid w:val="00765B25"/>
    <w:rsid w:val="00792EBA"/>
    <w:rsid w:val="007A0D09"/>
    <w:rsid w:val="008743FD"/>
    <w:rsid w:val="008D1357"/>
    <w:rsid w:val="008E1F43"/>
    <w:rsid w:val="00956060"/>
    <w:rsid w:val="009A48AE"/>
    <w:rsid w:val="009E5286"/>
    <w:rsid w:val="00B65BF2"/>
    <w:rsid w:val="00B802DE"/>
    <w:rsid w:val="00C24C73"/>
    <w:rsid w:val="00D22C3B"/>
    <w:rsid w:val="00DD1517"/>
    <w:rsid w:val="00E439A8"/>
    <w:rsid w:val="00F60BE8"/>
    <w:rsid w:val="00F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FE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57"/>
    <w:pPr>
      <w:widowControl w:val="0"/>
      <w:spacing w:after="0" w:line="240" w:lineRule="auto"/>
    </w:pPr>
    <w:rPr>
      <w:rFonts w:ascii="Times New Roman" w:eastAsia="新細明體" w:hAnsi="Times New Roman" w:cs="Times New Roman"/>
      <w:sz w:val="24"/>
      <w:szCs w:val="24"/>
      <w:lang w:val="en-GB" w:eastAsia="zh-TW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1357"/>
  </w:style>
  <w:style w:type="paragraph" w:styleId="a4">
    <w:name w:val="header"/>
    <w:aliases w:val="Header1"/>
    <w:basedOn w:val="a"/>
    <w:link w:val="a5"/>
    <w:rsid w:val="008D1357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  <w:szCs w:val="20"/>
    </w:rPr>
  </w:style>
  <w:style w:type="character" w:customStyle="1" w:styleId="a5">
    <w:name w:val="頁首 字元"/>
    <w:aliases w:val="Header1 字元"/>
    <w:basedOn w:val="a0"/>
    <w:link w:val="a4"/>
    <w:qFormat/>
    <w:rsid w:val="008D1357"/>
    <w:rPr>
      <w:rFonts w:ascii="Times New Roman" w:eastAsia="細明體" w:hAnsi="Times New Roman" w:cs="Times New Roman"/>
      <w:kern w:val="0"/>
      <w:sz w:val="20"/>
      <w:szCs w:val="20"/>
      <w:lang w:val="en-GB" w:eastAsia="zh-TW"/>
      <w14:ligatures w14:val="none"/>
    </w:rPr>
  </w:style>
  <w:style w:type="paragraph" w:styleId="a6">
    <w:name w:val="footer"/>
    <w:basedOn w:val="a"/>
    <w:link w:val="a7"/>
    <w:uiPriority w:val="99"/>
    <w:unhideWhenUsed/>
    <w:rsid w:val="008E1F43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8E1F43"/>
    <w:rPr>
      <w:rFonts w:ascii="Times New Roman" w:eastAsia="新細明體" w:hAnsi="Times New Roman" w:cs="Times New Roman"/>
      <w:sz w:val="24"/>
      <w:szCs w:val="24"/>
      <w:lang w:val="en-GB" w:eastAsia="zh-TW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721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16E1"/>
    <w:rPr>
      <w:sz w:val="20"/>
      <w:szCs w:val="20"/>
    </w:rPr>
  </w:style>
  <w:style w:type="character" w:customStyle="1" w:styleId="aa">
    <w:name w:val="註解文字 字元"/>
    <w:basedOn w:val="a0"/>
    <w:link w:val="a9"/>
    <w:uiPriority w:val="99"/>
    <w:semiHidden/>
    <w:rsid w:val="007216E1"/>
    <w:rPr>
      <w:rFonts w:ascii="Times New Roman" w:eastAsia="新細明體" w:hAnsi="Times New Roman" w:cs="Times New Roman"/>
      <w:sz w:val="20"/>
      <w:szCs w:val="20"/>
      <w:lang w:val="en-GB" w:eastAsia="zh-TW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16E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216E1"/>
    <w:rPr>
      <w:rFonts w:ascii="Times New Roman" w:eastAsia="新細明體" w:hAnsi="Times New Roman" w:cs="Times New Roman"/>
      <w:b/>
      <w:bCs/>
      <w:sz w:val="20"/>
      <w:szCs w:val="20"/>
      <w:lang w:val="en-GB" w:eastAsia="zh-TW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7216E1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216E1"/>
    <w:rPr>
      <w:rFonts w:ascii="Microsoft JhengHei UI" w:eastAsia="Microsoft JhengHei UI" w:hAnsi="Times New Roman" w:cs="Times New Roman"/>
      <w:sz w:val="18"/>
      <w:szCs w:val="18"/>
      <w:lang w:val="en-GB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712</Characters>
  <Application>Microsoft Office Word</Application>
  <DocSecurity>0</DocSecurity>
  <Lines>27</Lines>
  <Paragraphs>10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2024-12-20T07:09:00Z</dcterms:created>
  <dcterms:modified xsi:type="dcterms:W3CDTF">2026-01-14T03:05:00Z</dcterms:modified>
</cp:coreProperties>
</file>